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607C1D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E44641">
        <w:rPr>
          <w:rFonts w:ascii="Times New Roman" w:hAnsi="Times New Roman"/>
          <w:b/>
          <w:spacing w:val="20"/>
          <w:sz w:val="28"/>
          <w:szCs w:val="28"/>
        </w:rPr>
        <w:t>6</w:t>
      </w:r>
      <w:r w:rsidR="00B81BF4">
        <w:rPr>
          <w:rFonts w:ascii="Times New Roman" w:hAnsi="Times New Roman"/>
          <w:b/>
          <w:spacing w:val="20"/>
          <w:sz w:val="28"/>
          <w:szCs w:val="28"/>
        </w:rPr>
        <w:t>.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0</w:t>
      </w:r>
      <w:r w:rsidR="00E44641">
        <w:rPr>
          <w:rFonts w:ascii="Times New Roman" w:hAnsi="Times New Roman"/>
          <w:b/>
          <w:spacing w:val="20"/>
          <w:sz w:val="28"/>
          <w:szCs w:val="28"/>
        </w:rPr>
        <w:t>2</w:t>
      </w:r>
      <w:r w:rsidR="00B81BF4"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</w:t>
      </w:r>
      <w:r w:rsidR="00E44641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E44641">
        <w:rPr>
          <w:rFonts w:ascii="Times New Roman" w:hAnsi="Times New Roman"/>
          <w:b/>
          <w:spacing w:val="20"/>
          <w:sz w:val="28"/>
          <w:szCs w:val="28"/>
        </w:rPr>
        <w:t>5</w:t>
      </w:r>
      <w:r w:rsidR="009A7351">
        <w:rPr>
          <w:rFonts w:ascii="Times New Roman" w:hAnsi="Times New Roman"/>
          <w:b/>
          <w:spacing w:val="20"/>
          <w:sz w:val="28"/>
          <w:szCs w:val="28"/>
        </w:rPr>
        <w:t>/1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9A7351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9A7351">
        <w:rPr>
          <w:rFonts w:ascii="Times New Roman" w:hAnsi="Times New Roman"/>
          <w:b/>
          <w:i/>
          <w:sz w:val="28"/>
        </w:rPr>
        <w:t xml:space="preserve">;  28.11.2014 г. № 30/1;27.02.2015 г. № 9/2-пг; </w:t>
      </w:r>
    </w:p>
    <w:p w:rsidR="00A618FB" w:rsidRDefault="009A7351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20.05.2015 г. № 19/1-пг</w:t>
      </w:r>
      <w:r w:rsidR="00607C1D">
        <w:rPr>
          <w:rFonts w:ascii="Times New Roman" w:hAnsi="Times New Roman"/>
          <w:b/>
          <w:i/>
          <w:sz w:val="28"/>
        </w:rPr>
        <w:t>;  28.08.2015 г. № 32/1-пг</w:t>
      </w:r>
      <w:r w:rsidR="00177989">
        <w:rPr>
          <w:rFonts w:ascii="Times New Roman" w:hAnsi="Times New Roman"/>
          <w:b/>
          <w:i/>
          <w:sz w:val="28"/>
        </w:rPr>
        <w:t xml:space="preserve">; 22.01.2016 г. </w:t>
      </w:r>
      <w:proofErr w:type="gramEnd"/>
      <w:r w:rsidR="00177989">
        <w:rPr>
          <w:rFonts w:ascii="Times New Roman" w:hAnsi="Times New Roman"/>
          <w:b/>
          <w:i/>
          <w:sz w:val="28"/>
        </w:rPr>
        <w:t>№ 2/1-пг</w:t>
      </w:r>
      <w:r w:rsidR="00A618FB">
        <w:rPr>
          <w:rFonts w:ascii="Times New Roman" w:hAnsi="Times New Roman"/>
          <w:b/>
          <w:i/>
          <w:sz w:val="28"/>
        </w:rPr>
        <w:t>)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351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 </w:t>
      </w:r>
      <w:r w:rsidR="00607C1D">
        <w:rPr>
          <w:rFonts w:ascii="Times New Roman" w:hAnsi="Times New Roman"/>
          <w:color w:val="000000"/>
          <w:sz w:val="28"/>
          <w:szCs w:val="28"/>
        </w:rPr>
        <w:t>1, 2</w:t>
      </w:r>
      <w:r w:rsidR="00AE7309">
        <w:rPr>
          <w:rFonts w:ascii="Times New Roman" w:hAnsi="Times New Roman"/>
          <w:color w:val="000000"/>
          <w:sz w:val="28"/>
          <w:szCs w:val="28"/>
        </w:rPr>
        <w:t>,</w:t>
      </w:r>
      <w:r w:rsidR="00BB5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C1D">
        <w:rPr>
          <w:rFonts w:ascii="Times New Roman" w:hAnsi="Times New Roman"/>
          <w:color w:val="000000"/>
          <w:sz w:val="28"/>
          <w:szCs w:val="28"/>
        </w:rPr>
        <w:t>4</w:t>
      </w:r>
      <w:r w:rsidR="00E44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7C1D" w:rsidRDefault="00607C1D" w:rsidP="009A7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Приложение № 1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A0679B">
        <w:rPr>
          <w:rFonts w:ascii="Times New Roman" w:hAnsi="Times New Roman" w:cs="Times New Roman"/>
        </w:rPr>
        <w:t>2</w:t>
      </w:r>
      <w:r w:rsidR="00E446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E446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A067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E446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0D44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-пг</w:t>
      </w:r>
    </w:p>
    <w:p w:rsidR="00607C1D" w:rsidRPr="000D673F" w:rsidRDefault="00607C1D" w:rsidP="00607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C1D" w:rsidRPr="000D3AB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07C1D" w:rsidRPr="004817BA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607C1D" w:rsidTr="00607C1D">
        <w:tc>
          <w:tcPr>
            <w:tcW w:w="3686" w:type="dxa"/>
          </w:tcPr>
          <w:p w:rsidR="00607C1D" w:rsidRPr="002B73AC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607C1D" w:rsidTr="00607C1D">
        <w:tc>
          <w:tcPr>
            <w:tcW w:w="3686" w:type="dxa"/>
          </w:tcPr>
          <w:p w:rsidR="00607C1D" w:rsidRPr="002B73AC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607C1D" w:rsidRPr="002B73AC" w:rsidRDefault="00607C1D" w:rsidP="0060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proofErr w:type="gramEnd"/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E44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44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369,4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E44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607C1D" w:rsidRDefault="00607C1D" w:rsidP="00607C1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06.05.2011 г. « 100-ФЗ «О добровольной пожарной охране»,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607C1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Нюра и с. Азей являющийся административным центром муниципального образования. 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607C1D" w:rsidRPr="000D3AB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607C1D" w:rsidRPr="00A8669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607C1D" w:rsidRPr="004232BA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07C1D" w:rsidRPr="005027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C1D" w:rsidRPr="009F6FBF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199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850"/>
        <w:gridCol w:w="850"/>
        <w:gridCol w:w="53"/>
        <w:gridCol w:w="798"/>
        <w:gridCol w:w="1418"/>
        <w:gridCol w:w="1984"/>
      </w:tblGrid>
      <w:tr w:rsidR="00607C1D" w:rsidTr="00607C1D">
        <w:trPr>
          <w:trHeight w:val="495"/>
        </w:trPr>
        <w:tc>
          <w:tcPr>
            <w:tcW w:w="567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07C1D" w:rsidRPr="00C40C1B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607C1D" w:rsidRPr="00C40C1B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607C1D" w:rsidTr="00607C1D">
        <w:trPr>
          <w:trHeight w:val="240"/>
        </w:trPr>
        <w:tc>
          <w:tcPr>
            <w:tcW w:w="567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Tr="00607C1D">
        <w:trPr>
          <w:trHeight w:val="210"/>
        </w:trPr>
        <w:tc>
          <w:tcPr>
            <w:tcW w:w="567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51" w:type="dxa"/>
          </w:tcPr>
          <w:p w:rsidR="00607C1D" w:rsidRPr="00FB5328" w:rsidRDefault="00E44641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0679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AC7E44" w:rsidRDefault="00E44641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C1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r w:rsidR="00CD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емкости водой для выполнения пожарных мероприятий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F053E5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07C1D" w:rsidRPr="00F053E5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BA29F0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607C1D" w:rsidRPr="00024111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BA29F0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607C1D" w:rsidRPr="00024111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пожарных сигнализаций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607C1D" w:rsidRDefault="00A0679B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DE3843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DE3843" w:rsidRDefault="00B86198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C1D" w:rsidRPr="00DE38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«Гарант»</w:t>
            </w:r>
          </w:p>
        </w:tc>
      </w:tr>
      <w:tr w:rsidR="00607C1D" w:rsidTr="00607C1D">
        <w:tc>
          <w:tcPr>
            <w:tcW w:w="567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607C1D" w:rsidRPr="00E41D56" w:rsidRDefault="00607C1D" w:rsidP="00E446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79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E41D56" w:rsidRDefault="00CD0DFD" w:rsidP="00CD0D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7C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7C1D" w:rsidTr="00607C1D">
        <w:trPr>
          <w:trHeight w:val="778"/>
        </w:trPr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607C1D" w:rsidRPr="00E41D56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 и др.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E41D56" w:rsidRDefault="00A0679B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E41D56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E41D56" w:rsidRDefault="00E44641" w:rsidP="00B861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C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FB5328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607C1D" w:rsidTr="00607C1D">
        <w:trPr>
          <w:trHeight w:val="70"/>
        </w:trPr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FB5328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</w:tr>
      <w:tr w:rsidR="00607C1D" w:rsidTr="00607C1D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реализацией Программы осуществляет заказчик Программы – администрация Азейского сельского поселения.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607C1D" w:rsidRPr="009F6FBF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607C1D" w:rsidRPr="00130074" w:rsidRDefault="00607C1D" w:rsidP="00607C1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ожидается: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9A7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2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E446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E446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.2016 г. № </w:t>
      </w:r>
      <w:r w:rsidR="00E446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/1-пг</w:t>
      </w:r>
    </w:p>
    <w:p w:rsidR="00596FAB" w:rsidRDefault="00596FAB" w:rsidP="00596FAB">
      <w:pPr>
        <w:spacing w:after="0" w:line="240" w:lineRule="auto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 ПРОГРАММА</w:t>
      </w:r>
    </w:p>
    <w:p w:rsidR="00596FAB" w:rsidRPr="00425832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FAB" w:rsidRDefault="00596FAB" w:rsidP="00596FAB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 ПРОГРАММЫ</w:t>
      </w:r>
    </w:p>
    <w:p w:rsidR="00596FAB" w:rsidRPr="00425832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820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820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3372,3.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405,8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820D88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596FAB" w:rsidRPr="009B7271" w:rsidRDefault="00596FAB" w:rsidP="00596FA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596FAB" w:rsidRPr="009B7271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596FAB" w:rsidRPr="005225AA" w:rsidRDefault="00596FAB" w:rsidP="00596FAB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FAB" w:rsidRPr="008371BC" w:rsidRDefault="00596FAB" w:rsidP="0059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AB" w:rsidRPr="003A6E19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596FAB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482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2"/>
        <w:gridCol w:w="992"/>
        <w:gridCol w:w="850"/>
        <w:gridCol w:w="1135"/>
        <w:gridCol w:w="1418"/>
        <w:gridCol w:w="1984"/>
      </w:tblGrid>
      <w:tr w:rsidR="00596FAB" w:rsidTr="00A0679B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96FAB" w:rsidRPr="00C46849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596FAB" w:rsidTr="00A0679B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820D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D88">
              <w:rPr>
                <w:rFonts w:ascii="Times New Roman" w:eastAsia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820D88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нанесение разметок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(подъезд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(проулок между ул. Центральная и Российская, выезд на объездную дорогу;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820D88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A0679B" w:rsidRDefault="00E44641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679,3</w:t>
            </w: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разметки на пешеходных переходах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820D88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820D88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FAB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Исполнитель программы -  администрация Азейского сельского поселения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596FAB" w:rsidRDefault="00596FAB" w:rsidP="00596F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6FAB" w:rsidRPr="001751B8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B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2014</w:t>
      </w:r>
      <w:r w:rsidRPr="003D0D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596FAB" w:rsidRDefault="00596FAB" w:rsidP="00596FAB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6FAB" w:rsidRDefault="00596FAB" w:rsidP="00596FAB"/>
    <w:p w:rsidR="00A95003" w:rsidRDefault="009A7351" w:rsidP="009A73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A95003">
        <w:rPr>
          <w:rFonts w:ascii="Times New Roman" w:hAnsi="Times New Roman" w:cs="Times New Roman"/>
        </w:rPr>
        <w:t>Приложение № 4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820D88">
        <w:rPr>
          <w:rFonts w:ascii="Times New Roman" w:hAnsi="Times New Roman" w:cs="Times New Roman"/>
        </w:rPr>
        <w:t>6</w:t>
      </w:r>
      <w:r w:rsidR="008F0803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</w:t>
      </w:r>
      <w:r w:rsidR="00820D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0D44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820D88">
        <w:rPr>
          <w:rFonts w:ascii="Times New Roman" w:hAnsi="Times New Roman" w:cs="Times New Roman"/>
        </w:rPr>
        <w:t>5</w:t>
      </w:r>
      <w:r w:rsidR="0003682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-пг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A95003" w:rsidRPr="00425832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A95003" w:rsidRPr="00BD7950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35F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1536,65802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835F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1536,65802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0803"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189,2</w:t>
            </w:r>
            <w:r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7351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A38D2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2191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114,12191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Азейского с.п.- 16,9 тыс. руб.</w:t>
            </w:r>
          </w:p>
          <w:p w:rsidR="00B14B2D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B14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4B2D"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216,</w:t>
            </w:r>
            <w:r w:rsidR="00B14B2D">
              <w:rPr>
                <w:rFonts w:ascii="Times New Roman" w:hAnsi="Times New Roman" w:cs="Times New Roman"/>
                <w:b/>
                <w:sz w:val="24"/>
                <w:szCs w:val="24"/>
              </w:rPr>
              <w:t>43611</w:t>
            </w:r>
            <w:r w:rsidR="00B14B2D" w:rsidRPr="00B14B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B14B2D" w:rsidRDefault="00B14B2D" w:rsidP="00B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141,4</w:t>
            </w:r>
            <w:r w:rsidR="00B1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1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B2D" w:rsidRDefault="00B14B2D" w:rsidP="00B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Азейского с.п.- </w:t>
            </w:r>
            <w:r w:rsidR="00B151C1">
              <w:rPr>
                <w:rFonts w:ascii="Times New Roman" w:hAnsi="Times New Roman" w:cs="Times New Roman"/>
                <w:sz w:val="24"/>
                <w:szCs w:val="24"/>
              </w:rPr>
              <w:t>75,03611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B14B2D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A95003" w:rsidRPr="00FC2AED" w:rsidRDefault="00A95003" w:rsidP="00A9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Муниципальная программа </w:t>
      </w:r>
      <w:r w:rsidRPr="00036822">
        <w:rPr>
          <w:rFonts w:ascii="Times New Roman" w:hAnsi="Times New Roman" w:cs="Times New Roman"/>
          <w:sz w:val="26"/>
          <w:szCs w:val="26"/>
        </w:rPr>
        <w:t xml:space="preserve">«Обеспечение населения Азейского сельского поселения питьевой водой» 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95003" w:rsidRPr="00036822" w:rsidRDefault="00A95003" w:rsidP="00A9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</w:t>
      </w:r>
      <w:r w:rsidR="009A7351" w:rsidRPr="00036822">
        <w:rPr>
          <w:rFonts w:ascii="Times New Roman" w:hAnsi="Times New Roman" w:cs="Times New Roman"/>
          <w:sz w:val="26"/>
          <w:szCs w:val="26"/>
        </w:rPr>
        <w:t>–</w:t>
      </w:r>
      <w:r w:rsidRPr="00036822">
        <w:rPr>
          <w:rFonts w:ascii="Times New Roman" w:hAnsi="Times New Roman" w:cs="Times New Roman"/>
          <w:sz w:val="26"/>
          <w:szCs w:val="26"/>
        </w:rPr>
        <w:t xml:space="preserve">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5003" w:rsidRPr="00036822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Обеспечение учреждение здравоохранения, образования и  населения сельского поселения качественной питьевой водой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решить следующие задачи: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бюджетные средства, направленные на реализацию программы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8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003" w:rsidRPr="00596FAB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FAB">
        <w:rPr>
          <w:rFonts w:ascii="Times New Roman" w:eastAsia="Times New Roman" w:hAnsi="Times New Roman" w:cs="Times New Roman"/>
          <w:b/>
          <w:sz w:val="24"/>
          <w:szCs w:val="24"/>
        </w:rPr>
        <w:t>Перечень  мероприятий программы</w:t>
      </w:r>
    </w:p>
    <w:tbl>
      <w:tblPr>
        <w:tblStyle w:val="a6"/>
        <w:tblW w:w="11223" w:type="dxa"/>
        <w:tblInd w:w="-885" w:type="dxa"/>
        <w:tblLayout w:type="fixed"/>
        <w:tblLook w:val="04A0"/>
      </w:tblPr>
      <w:tblGrid>
        <w:gridCol w:w="426"/>
        <w:gridCol w:w="1843"/>
        <w:gridCol w:w="851"/>
        <w:gridCol w:w="1275"/>
        <w:gridCol w:w="851"/>
        <w:gridCol w:w="1276"/>
        <w:gridCol w:w="1275"/>
        <w:gridCol w:w="1418"/>
        <w:gridCol w:w="2008"/>
      </w:tblGrid>
      <w:tr w:rsidR="00A95003" w:rsidTr="00B151C1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B151C1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B151C1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B151C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95003" w:rsidTr="00B151C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7351" w:rsidTr="00B151C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строительного материала и ремонт водонапорной башни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 xml:space="preserve"> 114,12191</w:t>
            </w: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с.п.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151C1" w:rsidTr="00B151C1">
        <w:trPr>
          <w:trHeight w:val="99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водоразборной колонки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1Б   с. Азей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166,353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24,953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151C1" w:rsidTr="00B151C1">
        <w:trPr>
          <w:trHeight w:val="37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1" w:rsidTr="00B151C1">
        <w:trPr>
          <w:trHeight w:val="375"/>
        </w:trPr>
        <w:tc>
          <w:tcPr>
            <w:tcW w:w="4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насоса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50,08311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C1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50,08311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C1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B151C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B151C1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1536,65802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1189,2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B151C1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216,43611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 Механизм 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>оответствии с поставленными задачами  в пределах лимитов финансирования.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Основными вопросами, подлежащим контролю в процессе реализации программы, являются: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осуществляет администрация Азейского сельского поселения.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Исполнитель программы -  администрация Азейского сельского поселения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A95003" w:rsidRPr="00596FAB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FA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Успешное  выполнение мероприятий программы позволит обеспечить к 2013 году: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повышение качества и надежности коммунальных услуг.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осуществляться на основе следующего индикатора: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снижение уровня износа коммунальной инфраструктуры.</w:t>
      </w:r>
    </w:p>
    <w:p w:rsidR="008C0BF4" w:rsidRDefault="008C0BF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9A1583" w:rsidRDefault="00596FAB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471" w:rsidRDefault="000D4471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A7BE1" w:rsidRDefault="00E44641" w:rsidP="002A7BE1">
      <w:r>
        <w:rPr>
          <w:rFonts w:ascii="Times New Roman" w:hAnsi="Times New Roman"/>
        </w:rPr>
        <w:t xml:space="preserve"> </w:t>
      </w:r>
    </w:p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36822"/>
    <w:rsid w:val="00046196"/>
    <w:rsid w:val="00062602"/>
    <w:rsid w:val="0009611B"/>
    <w:rsid w:val="000B3125"/>
    <w:rsid w:val="000C4823"/>
    <w:rsid w:val="000D4471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77989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E501D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E419A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B454A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6FAB"/>
    <w:rsid w:val="0059766E"/>
    <w:rsid w:val="005C0A1A"/>
    <w:rsid w:val="005C4522"/>
    <w:rsid w:val="005E2EB9"/>
    <w:rsid w:val="005F418F"/>
    <w:rsid w:val="00600326"/>
    <w:rsid w:val="00600E4E"/>
    <w:rsid w:val="00607C1D"/>
    <w:rsid w:val="00612965"/>
    <w:rsid w:val="006148F7"/>
    <w:rsid w:val="00650AC2"/>
    <w:rsid w:val="006571CC"/>
    <w:rsid w:val="00673F7C"/>
    <w:rsid w:val="006A5517"/>
    <w:rsid w:val="006C3303"/>
    <w:rsid w:val="006D2E36"/>
    <w:rsid w:val="006E08F2"/>
    <w:rsid w:val="006E1081"/>
    <w:rsid w:val="006F7778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20D88"/>
    <w:rsid w:val="00835FA1"/>
    <w:rsid w:val="00836886"/>
    <w:rsid w:val="008663DC"/>
    <w:rsid w:val="00867358"/>
    <w:rsid w:val="0086773E"/>
    <w:rsid w:val="00880FA2"/>
    <w:rsid w:val="00883109"/>
    <w:rsid w:val="008A15FC"/>
    <w:rsid w:val="008A3607"/>
    <w:rsid w:val="008A63F5"/>
    <w:rsid w:val="008C0834"/>
    <w:rsid w:val="008C0BF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A7351"/>
    <w:rsid w:val="009C1C10"/>
    <w:rsid w:val="009C79AD"/>
    <w:rsid w:val="009E7612"/>
    <w:rsid w:val="009F36C3"/>
    <w:rsid w:val="00A012FC"/>
    <w:rsid w:val="00A0679B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0BF2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14B2D"/>
    <w:rsid w:val="00B151C1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86198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D0DFD"/>
    <w:rsid w:val="00CE1C92"/>
    <w:rsid w:val="00CF0F6A"/>
    <w:rsid w:val="00D03F80"/>
    <w:rsid w:val="00D12F82"/>
    <w:rsid w:val="00D21BAB"/>
    <w:rsid w:val="00D22D79"/>
    <w:rsid w:val="00D34DC0"/>
    <w:rsid w:val="00D549FC"/>
    <w:rsid w:val="00D616F5"/>
    <w:rsid w:val="00D62394"/>
    <w:rsid w:val="00D7064B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4641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72DCF"/>
    <w:rsid w:val="00F802DF"/>
    <w:rsid w:val="00F811B5"/>
    <w:rsid w:val="00F911A5"/>
    <w:rsid w:val="00FA38D2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49B-6626-4620-99B4-84E49E3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2016-06-30T02:16:00Z</cp:lastPrinted>
  <dcterms:created xsi:type="dcterms:W3CDTF">2012-03-22T01:37:00Z</dcterms:created>
  <dcterms:modified xsi:type="dcterms:W3CDTF">2016-06-30T02:21:00Z</dcterms:modified>
</cp:coreProperties>
</file>